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B448C"/>
          <w:sz w:val="32"/>
        </w:rPr>
        <w:t>POLÍTICA DE USO DE TRANSPORTE POR APLICATIVO (UBER E 99)</w:t>
      </w:r>
    </w:p>
    <w:p>
      <w:pPr>
        <w:spacing w:after="320"/>
        <w:jc w:val="center"/>
      </w:pPr>
      <w:r>
        <w:rPr>
          <w:color w:val="606060"/>
          <w:sz w:val="20"/>
        </w:rPr>
        <w:t>Versão 3 — vigente desde 04/08/2026 — revisão anual</w:t>
      </w:r>
    </w:p>
    <w:p>
      <w:pPr>
        <w:spacing w:before="240"/>
      </w:pPr>
      <w:r>
        <w:rPr>
          <w:b/>
          <w:color w:val="2B448C"/>
          <w:sz w:val="27"/>
        </w:rPr>
        <w:t>1. Objetivo</w:t>
      </w:r>
    </w:p>
    <w:p>
      <w:pPr>
        <w:jc w:val="both"/>
      </w:pPr>
      <w:r>
        <w:t>Esta política estabelece as diretrizes para o uso responsável e eficiente dos serviços de transporte por aplicativo, Uber e 99, pelos colaboradores do Grupo Tokyo em deslocamentos relacionados ao trabalho.</w:t>
      </w:r>
    </w:p>
    <w:p>
      <w:pPr>
        <w:spacing w:before="240"/>
      </w:pPr>
      <w:r>
        <w:rPr>
          <w:b/>
          <w:color w:val="2B448C"/>
          <w:sz w:val="27"/>
        </w:rPr>
        <w:t>2. Elegibilidade</w:t>
      </w:r>
    </w:p>
    <w:p>
      <w:pPr>
        <w:jc w:val="both"/>
      </w:pPr>
      <w:r>
        <w:t>O benefício está aberto a colaboradores de qualquer cargo. A adesão depende de justificativa apresentada pelo colaborador e de aprovação do seu gestor, com validação da Diretoria Executiva, do Financeiro e da Inteligência de Negócios.</w:t>
      </w:r>
    </w:p>
    <w:p>
      <w:pPr>
        <w:jc w:val="both"/>
      </w:pPr>
      <w:r>
        <w:t>São situações típicas de uso:</w:t>
      </w:r>
    </w:p>
    <w:p>
      <w:pPr>
        <w:spacing w:after="60"/>
        <w:ind w:left="397"/>
        <w:jc w:val="both"/>
      </w:pPr>
      <w:r>
        <w:t>• Reuniões externas com clientes e parceiros;</w:t>
      </w:r>
    </w:p>
    <w:p>
      <w:pPr>
        <w:spacing w:after="60"/>
        <w:ind w:left="397"/>
        <w:jc w:val="both"/>
      </w:pPr>
      <w:r>
        <w:t>• Visitas a filiais ou unidades da empresa;</w:t>
      </w:r>
    </w:p>
    <w:p>
      <w:pPr>
        <w:spacing w:after="60"/>
        <w:ind w:left="397"/>
        <w:jc w:val="both"/>
      </w:pPr>
      <w:r>
        <w:t>• Participação em eventos corporativos e treinamentos;</w:t>
      </w:r>
    </w:p>
    <w:p>
      <w:pPr>
        <w:spacing w:after="60"/>
        <w:ind w:left="397"/>
        <w:jc w:val="both"/>
      </w:pPr>
      <w:r>
        <w:t>• Deslocamento para atividades artísticas e comerciais;</w:t>
      </w:r>
    </w:p>
    <w:p>
      <w:pPr>
        <w:spacing w:after="60"/>
        <w:ind w:left="397"/>
        <w:jc w:val="both"/>
      </w:pPr>
      <w:r>
        <w:t>• Retornos em horários sem cobertura de transporte coletivo;</w:t>
      </w:r>
    </w:p>
    <w:p>
      <w:pPr>
        <w:spacing w:after="60"/>
        <w:ind w:left="397"/>
        <w:jc w:val="both"/>
      </w:pPr>
      <w:r>
        <w:t>• Necessidades médicas urgentes, de forma excepcional e justificada;</w:t>
      </w:r>
    </w:p>
    <w:p>
      <w:pPr>
        <w:spacing w:after="60"/>
        <w:ind w:left="397"/>
        <w:jc w:val="both"/>
      </w:pPr>
      <w:r>
        <w:t>• Deslocamentos emergenciais para resolver problemas críticos que impactem as operações;</w:t>
      </w:r>
    </w:p>
    <w:p>
      <w:pPr>
        <w:spacing w:after="60"/>
        <w:ind w:left="397"/>
        <w:jc w:val="both"/>
      </w:pPr>
      <w:r>
        <w:t>• Outras atividades previamente aprovadas pela Inteligência de Negócios ou pela Diretoria Executiva.</w:t>
      </w:r>
    </w:p>
    <w:p>
      <w:pPr>
        <w:spacing w:before="240"/>
      </w:pPr>
      <w:r>
        <w:rPr>
          <w:b/>
          <w:color w:val="2B448C"/>
          <w:sz w:val="27"/>
        </w:rPr>
        <w:t>3. Processo de adesão</w:t>
      </w:r>
    </w:p>
    <w:p>
      <w:pPr>
        <w:jc w:val="both"/>
      </w:pPr>
      <w:r>
        <w:t>A adesão é feita pelo portal https://transporte.tokyo011.com/, em um único formulário que reúne os dados do colaborador e o aceite eletrônico do Termo de Compromisso. O envio gera um protocolo e uma via do termo, enviada por e-mail ao colaborador e ao RH.</w:t>
      </w:r>
    </w:p>
    <w:p>
      <w:pPr>
        <w:jc w:val="both"/>
      </w:pPr>
      <w:r>
        <w:t>O prazo de análise é de 3 a 5 dias úteis. Aprovada a adesão, o colaborador recebe os convites do Uber e da 99; a ativação nos aplicativos pode levar até 24 horas.</w:t>
      </w:r>
    </w:p>
    <w:p>
      <w:pPr>
        <w:jc w:val="both"/>
      </w:pPr>
      <w:r>
        <w:t>A participação é voluntária e exige conformidade com esta política.</w:t>
      </w:r>
    </w:p>
    <w:p>
      <w:pPr>
        <w:spacing w:before="240"/>
      </w:pPr>
      <w:r>
        <w:rPr>
          <w:b/>
          <w:color w:val="2B448C"/>
          <w:sz w:val="27"/>
        </w:rPr>
        <w:t>4. Registro do motivo da corrida</w:t>
      </w:r>
    </w:p>
    <w:p>
      <w:pPr>
        <w:jc w:val="both"/>
      </w:pPr>
      <w:r>
        <w:t>O motivo de cada corrida deve ser informado no próprio aplicativo, no momento da solicitação, por meio do código de despesa correspondente à atividade. Esse é o canal principal de justificativa.</w:t>
      </w:r>
    </w:p>
    <w:p>
      <w:pPr>
        <w:jc w:val="both"/>
      </w:pPr>
      <w:r>
        <w:t>A planilha de controle passa a ser usada apenas como exceção, para as corridas em que o aplicativo não permitir o registro do motivo. O lançamento dessas exceções deve ser feito até o 5º dia útil do mês seguinte.</w:t>
      </w:r>
    </w:p>
    <w:p>
      <w:pPr>
        <w:jc w:val="both"/>
      </w:pPr>
      <w:r>
        <w:t>O catálogo de códigos é definido pela Inteligência de Negócios e revisado mensalmente, junto ao fechamento. Sugestões de novos códigos devem ser enviadas para inteligencia@tokyo011.com, com o assunto “Sugestão de código de despesa”.</w:t>
      </w:r>
    </w:p>
    <w:p>
      <w:pPr>
        <w:spacing w:before="240"/>
      </w:pPr>
      <w:r>
        <w:rPr>
          <w:b/>
          <w:color w:val="2B448C"/>
          <w:sz w:val="27"/>
        </w:rPr>
        <w:t>5. Restrições e limites</w:t>
      </w:r>
    </w:p>
    <w:p>
      <w:pPr>
        <w:jc w:val="both"/>
      </w:pPr>
      <w:r>
        <w:t>Finalidade: o transporte deve ser utilizado exclusivamente para fins relacionados ao trabalho, conforme a seção de Elegibilidade.</w:t>
      </w:r>
    </w:p>
    <w:p>
      <w:pPr>
        <w:jc w:val="both"/>
      </w:pPr>
      <w:r>
        <w:t>Limites de despesa: os valores cobertos são definidos com base na média de gastos e na previsão de cada departamento, e podem ser alterados pela empresa. Os limites não se acumulam automaticamente de um mês para o outro.</w:t>
      </w:r>
    </w:p>
    <w:p>
      <w:pPr>
        <w:jc w:val="both"/>
      </w:pPr>
      <w:r>
        <w:t>Canal oficial: o uso se dá exclusivamente pelo canal corporativo. Reembolso de despesas feitas fora desse canal depende de aprovação prévia da Diretoria Executiva e do Financeiro, e é tratado como exceção formal, não como alternativa de rotina.</w:t>
      </w:r>
    </w:p>
    <w:p>
      <w:pPr>
        <w:jc w:val="both"/>
      </w:pPr>
      <w:r>
        <w:t>Corridas para terceiros: a solicitação de corridas para equipes, prestadores ou visitantes é permitida apenas a gestores, deve utilizar o código de despesa correspondente a terceiros e permanece sob a responsabilidade de quem solicitou.</w:t>
      </w:r>
    </w:p>
    <w:p>
      <w:pPr>
        <w:spacing w:before="240"/>
      </w:pPr>
      <w:r>
        <w:rPr>
          <w:b/>
          <w:color w:val="2B448C"/>
          <w:sz w:val="27"/>
        </w:rPr>
        <w:t>6. Uso pessoal e regularização</w:t>
      </w:r>
    </w:p>
    <w:p>
      <w:pPr>
        <w:jc w:val="both"/>
      </w:pPr>
      <w:r>
        <w:t>O perfil corporativo não deve ser utilizado para deslocamentos pessoais.</w:t>
      </w:r>
    </w:p>
    <w:p>
      <w:pPr>
        <w:jc w:val="both"/>
      </w:pPr>
      <w:r>
        <w:t>Caso isso ocorra por engano, o colaborador deve comunicar o fato à Inteligência de Negócios em até 5 dias úteis e ressarcir o valor na forma acordada com o Financeiro. A comunicação espontânea dentro do prazo, seguida do ressarcimento, encerra o assunto sem qualquer sanção.</w:t>
      </w:r>
    </w:p>
    <w:p>
      <w:pPr>
        <w:jc w:val="both"/>
      </w:pPr>
      <w:r>
        <w:t>Uso pessoal não comunicado e identificado pelo monitoramento é tratado como uso indevido.</w:t>
      </w:r>
    </w:p>
    <w:p>
      <w:pPr>
        <w:spacing w:before="240"/>
      </w:pPr>
      <w:r>
        <w:rPr>
          <w:b/>
          <w:color w:val="2B448C"/>
          <w:sz w:val="27"/>
        </w:rPr>
        <w:t>7. Monitoramento e conformidade</w:t>
      </w:r>
    </w:p>
    <w:p>
      <w:pPr>
        <w:jc w:val="both"/>
      </w:pPr>
      <w:r>
        <w:t>A Inteligência de Negócios acompanha as corridas custeadas pela empresa, incluindo data, valor, motivo informado e centro de custo, com a finalidade de verificar o uso consciente do benefício, apurar custos e produzir relatórios gerenciais.</w:t>
      </w:r>
    </w:p>
    <w:p>
      <w:pPr>
        <w:jc w:val="both"/>
      </w:pPr>
      <w:r>
        <w:t>Quando o motivo não for informado, o colaborador recebe um lembrete individualizado com as corridas pendentes de justificativa. O lembrete é o instrumento padrão de regularização.</w:t>
      </w:r>
    </w:p>
    <w:p>
      <w:pPr>
        <w:jc w:val="both"/>
      </w:pPr>
      <w:r>
        <w:t>A suspensão ou restrição de acesso fica reservada aos casos de uso indevido, reincidência ou omissão persistente, e é decidida pela Diretoria Executiva em conjunto com o Financeiro.</w:t>
      </w:r>
    </w:p>
    <w:p>
      <w:pPr>
        <w:spacing w:before="240"/>
      </w:pPr>
      <w:r>
        <w:rPr>
          <w:b/>
          <w:color w:val="2B448C"/>
          <w:sz w:val="27"/>
        </w:rPr>
        <w:t>8. Dados pessoais</w:t>
      </w:r>
    </w:p>
    <w:p>
      <w:pPr>
        <w:jc w:val="both"/>
      </w:pPr>
      <w:r>
        <w:t>A empresa acessa somente os dados das corridas custeadas por ela, obtidos junto às plataformas por meio do perfil corporativo. Corridas particulares feitas no perfil pessoal do colaborador não são acessadas pela empresa.</w:t>
      </w:r>
    </w:p>
    <w:p>
      <w:pPr>
        <w:jc w:val="both"/>
      </w:pPr>
      <w:r>
        <w:t>Os dados tratados incluem data, hora, valor, motivo, centro de custo e os endereços de origem e destino informados à plataforma, além do registro eletrônico do aceite do Termo, com data, hora e endereço IP.</w:t>
      </w:r>
    </w:p>
    <w:p>
      <w:pPr>
        <w:jc w:val="both"/>
      </w:pPr>
      <w:r>
        <w:t>O acesso é restrito à Inteligência de Negócios, ao Financeiro e à Diretoria Executiva. Os registros são mantidos pelo prazo necessário ao cumprimento das obrigações legais e fiscais da empresa.</w:t>
      </w:r>
    </w:p>
    <w:p>
      <w:pPr>
        <w:jc w:val="both"/>
      </w:pPr>
      <w:r>
        <w:t>Pedidos de informação sobre o tratamento de dados devem ser enviados para inteligencia@tokyo011.com.</w:t>
      </w:r>
    </w:p>
    <w:p>
      <w:pPr>
        <w:spacing w:before="240"/>
      </w:pPr>
      <w:r>
        <w:rPr>
          <w:b/>
          <w:color w:val="2B448C"/>
          <w:sz w:val="27"/>
        </w:rPr>
        <w:t>9. Revisão da política</w:t>
      </w:r>
    </w:p>
    <w:p>
      <w:pPr>
        <w:jc w:val="both"/>
      </w:pPr>
      <w:r>
        <w:t>Esta política é revisada anualmente, ou antes disso sempre que houver mudança relevante no processo, na legislação ou nas plataformas utilizadas.</w:t>
      </w:r>
    </w:p>
    <w:p>
      <w:pPr>
        <w:jc w:val="both"/>
      </w:pPr>
      <w:r>
        <w:t>O Termo de Compromisso vigente acompanha esta política e está disponível em https://transporte.tokyo011.com/termo-de-compromisso.php.</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