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2B448C"/>
          <w:sz w:val="32"/>
        </w:rPr>
        <w:t>PERGUNTAS FREQUENTES</w:t>
      </w:r>
    </w:p>
    <w:p>
      <w:pPr>
        <w:spacing w:after="40"/>
        <w:jc w:val="center"/>
      </w:pPr>
      <w:r>
        <w:rPr>
          <w:color w:val="606060"/>
          <w:sz w:val="22"/>
        </w:rPr>
        <w:t>Transporte por Aplicativo — Grupo Tokyo</w:t>
      </w:r>
    </w:p>
    <w:p>
      <w:pPr>
        <w:spacing w:after="320"/>
        <w:jc w:val="center"/>
      </w:pPr>
      <w:r>
        <w:rPr>
          <w:color w:val="606060"/>
          <w:sz w:val="18"/>
        </w:rPr>
        <w:t>Versão de 04/08/2026 — 16 perguntas</w:t>
      </w:r>
    </w:p>
    <w:p>
      <w:pPr>
        <w:spacing w:before="280"/>
      </w:pPr>
      <w:r>
        <w:rPr>
          <w:b/>
          <w:color w:val="2B448C"/>
          <w:sz w:val="24"/>
        </w:rPr>
        <w:t>ADESÃO</w:t>
      </w:r>
    </w:p>
    <w:p>
      <w:pPr>
        <w:spacing w:before="180" w:after="60"/>
      </w:pPr>
      <w:r>
        <w:rPr>
          <w:b/>
          <w:sz w:val="23"/>
        </w:rPr>
        <w:t>1. Quem pode solicitar o benefício?</w:t>
      </w:r>
    </w:p>
    <w:p>
      <w:pPr>
        <w:ind w:left="283"/>
        <w:jc w:val="both"/>
      </w:pPr>
      <w:r>
        <w:t>Colaboradores de qualquer cargo. A adesão depende de justificativa apresentada por você e de aprovação do seu gestor, com validação da Diretoria Executiva, do Financeiro e da Inteligência de Negócios.</w:t>
      </w:r>
    </w:p>
    <w:p>
      <w:pPr>
        <w:ind w:left="283"/>
        <w:jc w:val="both"/>
      </w:pPr>
      <w:r>
        <w:t>A participação é voluntária e exige conformidade com a Política de Uso e com o Termo de Compromisso.</w:t>
      </w:r>
    </w:p>
    <w:p>
      <w:pPr>
        <w:spacing w:before="180" w:after="60"/>
      </w:pPr>
      <w:r>
        <w:rPr>
          <w:b/>
          <w:sz w:val="23"/>
        </w:rPr>
        <w:t>2. Quanto tempo leva a aprovação?</w:t>
      </w:r>
    </w:p>
    <w:p>
      <w:pPr>
        <w:ind w:left="283"/>
        <w:jc w:val="both"/>
      </w:pPr>
      <w:r>
        <w:t>De 3 a 5 dias úteis após o envio. A ativação nos aplicativos ocorre em até 24 horas depois da aprovação.</w:t>
      </w:r>
    </w:p>
    <w:p>
      <w:pPr>
        <w:ind w:left="283"/>
        <w:jc w:val="both"/>
      </w:pPr>
      <w:r>
        <w:t>Ao enviar o formulário você recebe um protocolo e a sua via do termo em PDF por e-mail. Guarde o protocolo: ele identifica a sua solicitação em qualquer consulta.</w:t>
      </w:r>
    </w:p>
    <w:p>
      <w:pPr>
        <w:spacing w:before="280"/>
      </w:pPr>
      <w:r>
        <w:rPr>
          <w:b/>
          <w:color w:val="2B448C"/>
          <w:sz w:val="24"/>
        </w:rPr>
        <w:t>NO DIA A DIA</w:t>
      </w:r>
    </w:p>
    <w:p>
      <w:pPr>
        <w:spacing w:before="180" w:after="60"/>
      </w:pPr>
      <w:r>
        <w:rPr>
          <w:b/>
          <w:sz w:val="23"/>
        </w:rPr>
        <w:t>3. Como alterno entre pessoal e corporativo?</w:t>
      </w:r>
    </w:p>
    <w:p>
      <w:pPr>
        <w:ind w:left="283"/>
        <w:jc w:val="both"/>
      </w:pPr>
      <w:r>
        <w:t>Uber: antes de confirmar a corrida, confira a faixa inferior. Ela deve mostrar o nome da empresa e a frase “Cobrança feita para a empresa”. Se aparecer um cartão pessoal, toque ali e troque.</w:t>
      </w:r>
    </w:p>
    <w:p>
      <w:pPr>
        <w:ind w:left="283"/>
        <w:jc w:val="both"/>
      </w:pPr>
      <w:r>
        <w:t>99: toque no meio de pagamento na barra inferior e escolha Voucher Corporativo — é a última opção da lista, abaixo dos meios pessoais.</w:t>
      </w:r>
    </w:p>
    <w:p>
      <w:pPr>
        <w:ind w:left="283"/>
        <w:jc w:val="both"/>
      </w:pPr>
      <w:r>
        <w:t>O passo a passo com as telas está no Tutorial de Uso.</w:t>
      </w:r>
    </w:p>
    <w:p>
      <w:pPr>
        <w:spacing w:before="180" w:after="60"/>
      </w:pPr>
      <w:r>
        <w:rPr>
          <w:b/>
          <w:sz w:val="23"/>
        </w:rPr>
        <w:t>4. Qual a diferença entre motivo e justificativa?</w:t>
      </w:r>
    </w:p>
    <w:p>
      <w:pPr>
        <w:ind w:left="283"/>
        <w:jc w:val="both"/>
      </w:pPr>
      <w:r>
        <w:t>São duas informações diferentes, e cada aplicativo usa um nome para elas.</w:t>
      </w:r>
    </w:p>
    <w:p>
      <w:pPr>
        <w:spacing w:after="60"/>
        <w:ind w:left="567"/>
        <w:jc w:val="both"/>
      </w:pPr>
      <w:r>
        <w:t>• Motivo é a categoria, escolhida numa lista fechada. No Uber aparece como código de despesa; na 99, como projeto.</w:t>
      </w:r>
    </w:p>
    <w:p>
      <w:pPr>
        <w:spacing w:after="60"/>
        <w:ind w:left="567"/>
        <w:jc w:val="both"/>
      </w:pPr>
      <w:r>
        <w:t>• Justificativa é o texto livre: o quê, onde e com quem. No Uber aparece como observação; na 99, já se chama justificativa.</w:t>
      </w:r>
    </w:p>
    <w:p>
      <w:pPr>
        <w:ind w:left="283"/>
        <w:jc w:val="both"/>
      </w:pPr>
      <w:r>
        <w:t>A tabela completa está no Tutorial de Uso.</w:t>
      </w:r>
    </w:p>
    <w:p>
      <w:pPr>
        <w:spacing w:before="180" w:after="60"/>
      </w:pPr>
      <w:r>
        <w:rPr>
          <w:b/>
          <w:sz w:val="23"/>
        </w:rPr>
        <w:t>5. Posso usar em outras cidades?</w:t>
      </w:r>
    </w:p>
    <w:p>
      <w:pPr>
        <w:ind w:left="283"/>
        <w:jc w:val="both"/>
      </w:pPr>
      <w:r>
        <w:t>Sim, desde que seja para atividades profissionais e dentro das regras do programa.</w:t>
      </w:r>
    </w:p>
    <w:p>
      <w:pPr>
        <w:ind w:left="283"/>
        <w:jc w:val="both"/>
      </w:pPr>
      <w:r>
        <w:t>Para deslocamentos fora da rotina, use o código VIAGEM TRABALHO e detalhe o destino e o objetivo na justificativa.</w:t>
      </w:r>
    </w:p>
    <w:p>
      <w:pPr>
        <w:spacing w:before="180" w:after="60"/>
      </w:pPr>
      <w:r>
        <w:rPr>
          <w:b/>
          <w:sz w:val="23"/>
        </w:rPr>
        <w:t>6. Onde vejo meus recibos?</w:t>
      </w:r>
    </w:p>
    <w:p>
      <w:pPr>
        <w:ind w:left="283"/>
        <w:jc w:val="both"/>
      </w:pPr>
      <w:r>
        <w:t>Uber: abra Atividades no aplicativo, selecione a corrida e veja o recibo. Com perfil administrativo, também pelo painel business.uber.com.</w:t>
      </w:r>
    </w:p>
    <w:p>
      <w:pPr>
        <w:ind w:left="283"/>
        <w:jc w:val="both"/>
      </w:pPr>
      <w:r>
        <w:t>99: abra Solicitações no aplicativo, selecione a corrida e veja o recibo.</w:t>
      </w:r>
    </w:p>
    <w:p>
      <w:pPr>
        <w:spacing w:before="280"/>
      </w:pPr>
      <w:r>
        <w:rPr>
          <w:b/>
          <w:color w:val="2B448C"/>
          <w:sz w:val="24"/>
        </w:rPr>
        <w:t>REGRAS E LIMITES</w:t>
      </w:r>
    </w:p>
    <w:p>
      <w:pPr>
        <w:spacing w:before="180" w:after="60"/>
      </w:pPr>
      <w:r>
        <w:rPr>
          <w:b/>
          <w:sz w:val="23"/>
        </w:rPr>
        <w:t>7. Posso usar para fins pessoais?</w:t>
      </w:r>
    </w:p>
    <w:p>
      <w:pPr>
        <w:ind w:left="283"/>
        <w:jc w:val="both"/>
      </w:pPr>
      <w:r>
        <w:t>Não. O benefício é exclusivo para atividades profissionais, conforme a Política de Uso e o Termo de Compromisso.</w:t>
      </w:r>
    </w:p>
    <w:p>
      <w:pPr>
        <w:ind w:left="283"/>
        <w:jc w:val="both"/>
      </w:pPr>
      <w:r>
        <w:t>Almoço, deslocamentos particulares e trajetos de rotina entre casa e trabalho não são cobertos — salvo os casos previstos, como retorno em horário sem transporte coletivo.</w:t>
      </w:r>
    </w:p>
    <w:p>
      <w:pPr>
        <w:spacing w:before="180" w:after="60"/>
      </w:pPr>
      <w:r>
        <w:rPr>
          <w:b/>
          <w:sz w:val="23"/>
        </w:rPr>
        <w:t>8. Posso pedir corrida para outra pessoa?</w:t>
      </w:r>
    </w:p>
    <w:p>
      <w:pPr>
        <w:ind w:left="283"/>
        <w:jc w:val="both"/>
      </w:pPr>
      <w:r>
        <w:t>Sim, mas apenas gestores podem solicitar corridas para equipes, prestadores ou visitantes.</w:t>
      </w:r>
    </w:p>
    <w:p>
      <w:pPr>
        <w:ind w:left="283"/>
        <w:jc w:val="both"/>
      </w:pPr>
      <w:r>
        <w:t>Use o código TERCEIROS e descreva na justificativa para quem foi a corrida. A responsabilidade pelo uso permanece com quem solicitou.</w:t>
      </w:r>
    </w:p>
    <w:p>
      <w:pPr>
        <w:spacing w:before="180" w:after="60"/>
      </w:pPr>
      <w:r>
        <w:rPr>
          <w:b/>
          <w:sz w:val="23"/>
        </w:rPr>
        <w:t>9. Há limite mensal? O que acontece se eu exceder?</w:t>
      </w:r>
    </w:p>
    <w:p>
      <w:pPr>
        <w:ind w:left="283"/>
        <w:jc w:val="both"/>
      </w:pPr>
      <w:r>
        <w:t>Sim. Os limites são definidos com base na média de gastos e na previsão de cada departamento, podem ser alterados pela empresa e não se acumulam de um mês para o outro.</w:t>
      </w:r>
    </w:p>
    <w:p>
      <w:pPr>
        <w:ind w:left="283"/>
        <w:jc w:val="both"/>
      </w:pPr>
      <w:r>
        <w:t>Excedentes dependem de aprovação prévia da Diretoria Executiva e do Financeiro. Fale com a Inteligência de Negócios antes de fazer a corrida sempre que possível.</w:t>
      </w:r>
    </w:p>
    <w:p>
      <w:pPr>
        <w:spacing w:before="280"/>
      </w:pPr>
      <w:r>
        <w:rPr>
          <w:b/>
          <w:color w:val="2B448C"/>
          <w:sz w:val="24"/>
        </w:rPr>
        <w:t>PLANILHA E PRAZOS</w:t>
      </w:r>
    </w:p>
    <w:p>
      <w:pPr>
        <w:spacing w:before="180" w:after="60"/>
      </w:pPr>
      <w:r>
        <w:rPr>
          <w:b/>
          <w:sz w:val="23"/>
        </w:rPr>
        <w:t>10. Preencher a planilha é obrigatório?</w:t>
      </w:r>
    </w:p>
    <w:p>
      <w:pPr>
        <w:ind w:left="283"/>
        <w:jc w:val="both"/>
      </w:pPr>
      <w:r>
        <w:t>Mudou. Desde 3 de agosto de 2026, o motivo vai dentro do aplicativo, no momento de pedir a corrida. Informou lá, está resolvido: a corrida não entra em pendência nenhuma.</w:t>
      </w:r>
    </w:p>
    <w:p>
      <w:pPr>
        <w:ind w:left="283"/>
        <w:jc w:val="both"/>
      </w:pPr>
      <w:r>
        <w:t>A planilha ficou só para o que escapou. E mesmo nela você não lança a corrida: data, valor, plataforma, unidade e trajeto vêm prontos das plataformas. Você completa apenas motivo e justificativa, até o 5º dia útil do mês seguinte.</w:t>
      </w:r>
    </w:p>
    <w:p>
      <w:pPr>
        <w:spacing w:before="180" w:after="60"/>
      </w:pPr>
      <w:r>
        <w:rPr>
          <w:b/>
          <w:sz w:val="23"/>
        </w:rPr>
        <w:t>11. Posso deixar tudo para o fim do mês?</w:t>
      </w:r>
    </w:p>
    <w:p>
      <w:pPr>
        <w:ind w:left="283"/>
        <w:jc w:val="both"/>
      </w:pPr>
      <w:r>
        <w:t>O motivo não. Ele é informado no aplicativo, na hora da corrida — não há como fazer depois.</w:t>
      </w:r>
    </w:p>
    <w:p>
      <w:pPr>
        <w:ind w:left="283"/>
        <w:jc w:val="both"/>
      </w:pPr>
      <w:r>
        <w:t>As pendências que sobrarem podem ser completadas até o 5º dia útil do mês seguinte, mas quanto mais perto do fato, melhor a lembrança do que aconteceu. Você recebe um lembrete individualizado apenas com as suas corridas em aberto.</w:t>
      </w:r>
    </w:p>
    <w:p>
      <w:pPr>
        <w:spacing w:before="280"/>
      </w:pPr>
      <w:r>
        <w:rPr>
          <w:b/>
          <w:color w:val="2B448C"/>
          <w:sz w:val="24"/>
        </w:rPr>
        <w:t>QUANDO ALGO DÁ ERRADO</w:t>
      </w:r>
    </w:p>
    <w:p>
      <w:pPr>
        <w:spacing w:before="180" w:after="60"/>
      </w:pPr>
      <w:r>
        <w:rPr>
          <w:b/>
          <w:sz w:val="23"/>
        </w:rPr>
        <w:t>12. O perfil corporativo não aparece. E agora?</w:t>
      </w:r>
    </w:p>
    <w:p>
      <w:pPr>
        <w:ind w:left="283"/>
        <w:jc w:val="both"/>
      </w:pPr>
      <w:r>
        <w:t>Confirme primeiro se você já recebeu e aceitou o convite por e-mail. Depois, atualize o aplicativo e refaça o login.</w:t>
      </w:r>
    </w:p>
    <w:p>
      <w:pPr>
        <w:ind w:left="283"/>
        <w:jc w:val="both"/>
      </w:pPr>
      <w:r>
        <w:t>Verifique também se está usando o e-mail corporativo no aplicativo — o convite é vinculado a ele.</w:t>
      </w:r>
    </w:p>
    <w:p>
      <w:pPr>
        <w:ind w:left="283"/>
        <w:jc w:val="both"/>
      </w:pPr>
      <w:r>
        <w:t>Persistindo, escreva para inteligencia@tokyo011.com informando qual aplicativo e qual e-mail você usa nele.</w:t>
      </w:r>
    </w:p>
    <w:p>
      <w:pPr>
        <w:spacing w:before="180" w:after="60"/>
      </w:pPr>
      <w:r>
        <w:rPr>
          <w:b/>
          <w:sz w:val="23"/>
        </w:rPr>
        <w:t>13. O aplicativo falhou. Posso pagar com meu cartão?</w:t>
      </w:r>
    </w:p>
    <w:p>
      <w:pPr>
        <w:ind w:left="283"/>
        <w:jc w:val="both"/>
      </w:pPr>
      <w:r>
        <w:t>Em situação excepcional, sim — mas não é reembolso garantido. Guarde o recibo e comunique a Inteligência de Negócios e o Financeiro o quanto antes, explicando a falha.</w:t>
      </w:r>
    </w:p>
    <w:p>
      <w:pPr>
        <w:ind w:left="283"/>
        <w:jc w:val="both"/>
      </w:pPr>
      <w:r>
        <w:t>Reembolso fora do canal oficial depende de aprovação prévia da Diretoria Executiva e do Financeiro.</w:t>
      </w:r>
    </w:p>
    <w:p>
      <w:pPr>
        <w:spacing w:before="180" w:after="60"/>
      </w:pPr>
      <w:r>
        <w:rPr>
          <w:b/>
          <w:sz w:val="23"/>
        </w:rPr>
        <w:t>14. Corrida cancelada foi cobrada. O que fazer?</w:t>
      </w:r>
    </w:p>
    <w:p>
      <w:pPr>
        <w:ind w:left="283"/>
        <w:jc w:val="both"/>
      </w:pPr>
      <w:r>
        <w:t>Conteste primeiro pelo próprio aplicativo, na tela da corrida — é o caminho mais rápido e costuma resolver.</w:t>
      </w:r>
    </w:p>
    <w:p>
      <w:pPr>
        <w:ind w:left="283"/>
        <w:jc w:val="both"/>
      </w:pPr>
      <w:r>
        <w:t>Se a contestação não for aceita, avise a Inteligência de Negócios com a data e o valor, para que a cobrança seja tratada na conciliação do mês.</w:t>
      </w:r>
    </w:p>
    <w:p>
      <w:pPr>
        <w:spacing w:before="180" w:after="60"/>
      </w:pPr>
      <w:r>
        <w:rPr>
          <w:b/>
          <w:sz w:val="23"/>
        </w:rPr>
        <w:t>15. Paguei no perfil pessoal por engano. O que fazer?</w:t>
      </w:r>
    </w:p>
    <w:p>
      <w:pPr>
        <w:ind w:left="283"/>
        <w:jc w:val="both"/>
      </w:pPr>
      <w:r>
        <w:t>A corrida não entra no controle da empresa e não gera reembolso automático.</w:t>
      </w:r>
    </w:p>
    <w:p>
      <w:pPr>
        <w:ind w:left="283"/>
        <w:jc w:val="both"/>
      </w:pPr>
      <w:r>
        <w:t>Comunique a Inteligência de Negócios e o Financeiro com o recibo em mãos. O reembolso fora do canal oficial depende de aprovação prévia da Diretoria Executiva e do Financeiro, e é tratado como exceção formal.</w:t>
      </w:r>
    </w:p>
    <w:p>
      <w:pPr>
        <w:spacing w:before="180" w:after="60"/>
      </w:pPr>
      <w:r>
        <w:rPr>
          <w:b/>
          <w:sz w:val="23"/>
        </w:rPr>
        <w:t>16. Usei o corporativo numa corrida pessoal. E agora?</w:t>
      </w:r>
    </w:p>
    <w:p>
      <w:pPr>
        <w:ind w:left="283"/>
        <w:jc w:val="both"/>
      </w:pPr>
      <w:r>
        <w:t>Comunique à Inteligência de Negócios em até 5 dias úteis, informando data, valor e o que aconteceu, e ressarça na forma acordada com o Financeiro.</w:t>
      </w:r>
    </w:p>
    <w:p>
      <w:pPr>
        <w:ind w:left="283"/>
        <w:jc w:val="both"/>
      </w:pPr>
      <w:r>
        <w:t>Comunicado e ressarcido dentro do prazo, o assunto se encerra sem qualquer sanção. Uso pessoal não comunicado e identificado pelo monitoramento é tratado como uso indevido.</w:t>
      </w:r>
    </w:p>
    <w:p>
      <w:pPr>
        <w:spacing w:before="400"/>
        <w:jc w:val="center"/>
      </w:pPr>
      <w:r>
        <w:rPr>
          <w:color w:val="606060"/>
          <w:sz w:val="20"/>
        </w:rPr>
        <w:t>Dúvida que não está aqui? Escreva para inteligencia@tokyo011.com</w:t>
      </w:r>
    </w:p>
    <w:p>
      <w:pPr>
        <w:jc w:val="center"/>
      </w:pPr>
      <w:r>
        <w:rPr>
          <w:color w:val="606060"/>
          <w:sz w:val="18"/>
        </w:rPr>
        <w:t>Versão sempre atualizada em transporte.tokyo011.com/faq.php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Calibri" w:hAnsi="Calibri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